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4DA4B226"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97</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-20</w:t>
      </w:r>
      <w:r w:rsidR="008B4F8F">
        <w:rPr>
          <w:rFonts w:ascii="Arial" w:hAnsi="Arial" w:cs="Arial"/>
          <w:b/>
          <w:sz w:val="24"/>
          <w:szCs w:val="24"/>
          <w:lang w:eastAsia="zh-CN"/>
        </w:rPr>
        <w:t>15440</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985912">
        <w:rPr>
          <w:rFonts w:ascii="Arial" w:hAnsi="Arial" w:cs="Arial"/>
          <w:b/>
          <w:sz w:val="24"/>
          <w:szCs w:val="24"/>
          <w:lang w:eastAsia="zh-CN"/>
        </w:rPr>
        <w:t>November</w:t>
      </w:r>
      <w:r>
        <w:rPr>
          <w:rFonts w:ascii="Arial" w:hAnsi="Arial" w:cs="Arial"/>
          <w:b/>
          <w:sz w:val="24"/>
          <w:szCs w:val="24"/>
          <w:lang w:eastAsia="zh-CN"/>
        </w:rPr>
        <w:t xml:space="preserve"> </w:t>
      </w:r>
      <w:r w:rsidR="00985912">
        <w:rPr>
          <w:rFonts w:ascii="Arial" w:hAnsi="Arial" w:cs="Arial"/>
          <w:b/>
          <w:sz w:val="24"/>
          <w:szCs w:val="24"/>
          <w:lang w:eastAsia="zh-CN"/>
        </w:rPr>
        <w:t xml:space="preserve">2 </w:t>
      </w:r>
      <w:r>
        <w:rPr>
          <w:rFonts w:ascii="Arial" w:hAnsi="Arial" w:cs="Arial"/>
          <w:b/>
          <w:sz w:val="24"/>
          <w:szCs w:val="24"/>
          <w:lang w:eastAsia="zh-CN"/>
        </w:rPr>
        <w:t>-</w:t>
      </w:r>
      <w:r w:rsidR="00985912">
        <w:rPr>
          <w:rFonts w:ascii="Arial" w:hAnsi="Arial" w:cs="Arial"/>
          <w:b/>
          <w:sz w:val="24"/>
          <w:szCs w:val="24"/>
          <w:lang w:eastAsia="zh-CN"/>
        </w:rPr>
        <w:t xml:space="preserve"> </w:t>
      </w:r>
      <w:r>
        <w:rPr>
          <w:rFonts w:ascii="Arial" w:hAnsi="Arial" w:cs="Arial"/>
          <w:b/>
          <w:sz w:val="24"/>
          <w:szCs w:val="24"/>
          <w:lang w:eastAsia="zh-CN"/>
        </w:rPr>
        <w:t>1</w:t>
      </w:r>
      <w:r w:rsidR="00985912">
        <w:rPr>
          <w:rFonts w:ascii="Arial" w:hAnsi="Arial" w:cs="Arial"/>
          <w:b/>
          <w:sz w:val="24"/>
          <w:szCs w:val="24"/>
          <w:lang w:eastAsia="zh-CN"/>
        </w:rPr>
        <w:t>3</w:t>
      </w:r>
      <w:r>
        <w:rPr>
          <w:rFonts w:ascii="Arial" w:hAnsi="Arial" w:cs="Arial"/>
          <w:b/>
          <w:sz w:val="24"/>
          <w:szCs w:val="24"/>
          <w:lang w:eastAsia="zh-CN"/>
        </w:rPr>
        <w:t>, 2020</w:t>
      </w:r>
    </w:p>
    <w:p w14:paraId="798321A4" w14:textId="77777777" w:rsidR="00656EE7" w:rsidRDefault="00656EE7">
      <w:pPr>
        <w:spacing w:after="120"/>
        <w:ind w:left="1985" w:hanging="1985"/>
        <w:rPr>
          <w:rFonts w:ascii="Arial" w:eastAsia="MS Mincho" w:hAnsi="Arial" w:cs="Arial"/>
          <w:b/>
          <w:sz w:val="22"/>
        </w:rPr>
      </w:pPr>
    </w:p>
    <w:p w14:paraId="36AE7F06" w14:textId="62DFC533"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16348" w:rsidRPr="008B4F8F">
        <w:rPr>
          <w:rFonts w:ascii="Arial" w:eastAsia="MS Mincho" w:hAnsi="Arial" w:cs="Arial"/>
          <w:bCs/>
          <w:color w:val="000000"/>
          <w:sz w:val="22"/>
          <w:lang w:val="pt-BR" w:eastAsia="ja-JP"/>
        </w:rPr>
        <w:t>7.4</w:t>
      </w:r>
      <w:r w:rsidR="007B0BBD" w:rsidRPr="008B4F8F">
        <w:rPr>
          <w:rFonts w:ascii="Arial" w:eastAsia="MS Mincho" w:hAnsi="Arial" w:cs="Arial"/>
          <w:bCs/>
          <w:color w:val="000000"/>
          <w:sz w:val="22"/>
          <w:lang w:val="pt-BR" w:eastAsia="ja-JP"/>
        </w:rPr>
        <w:t>.</w:t>
      </w:r>
      <w:r w:rsidR="008B4F8F" w:rsidRPr="008B4F8F">
        <w:rPr>
          <w:rFonts w:ascii="Arial" w:eastAsia="MS Mincho" w:hAnsi="Arial" w:cs="Arial"/>
          <w:bCs/>
          <w:color w:val="000000"/>
          <w:sz w:val="22"/>
          <w:lang w:val="pt-BR" w:eastAsia="ja-JP"/>
        </w:rPr>
        <w:t>3.2.1</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29679612"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7B0BBD" w:rsidRPr="007B0BBD">
        <w:rPr>
          <w:rFonts w:ascii="Arial" w:eastAsia="MS Mincho" w:hAnsi="Arial" w:cs="Arial"/>
          <w:bCs/>
          <w:color w:val="000000"/>
          <w:sz w:val="22"/>
        </w:rPr>
        <w:t xml:space="preserve">Test configurations for </w:t>
      </w:r>
      <w:r w:rsidR="00C22B29" w:rsidRPr="007B0BBD">
        <w:rPr>
          <w:rFonts w:ascii="Arial" w:hAnsi="Arial" w:cs="Arial"/>
          <w:bCs/>
          <w:color w:val="000000"/>
          <w:sz w:val="22"/>
          <w:lang w:eastAsia="zh-CN"/>
        </w:rPr>
        <w:t>IAB RF conformance testing</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proofErr w:type="spellStart"/>
      <w:r>
        <w:rPr>
          <w:rFonts w:hint="eastAsia"/>
          <w:lang w:eastAsia="ja-JP"/>
        </w:rPr>
        <w:t>Introduction</w:t>
      </w:r>
      <w:proofErr w:type="spellEnd"/>
    </w:p>
    <w:p w14:paraId="3659D095" w14:textId="7222CB7E" w:rsidR="00656EE7" w:rsidRDefault="00316348">
      <w:pPr>
        <w:pStyle w:val="BodyText"/>
        <w:rPr>
          <w:lang w:eastAsia="zh-CN"/>
        </w:rPr>
      </w:pPr>
      <w:r>
        <w:rPr>
          <w:lang w:eastAsia="zh-CN"/>
        </w:rPr>
        <w:t>RAN4 completed the core part of Integrated Access and Backhaul work in RAN4#96e and performance part is now starting</w:t>
      </w:r>
      <w:r w:rsidR="00344713">
        <w:rPr>
          <w:lang w:eastAsia="zh-CN"/>
        </w:rPr>
        <w:t xml:space="preserve">. </w:t>
      </w:r>
      <w:r>
        <w:rPr>
          <w:lang w:eastAsia="zh-CN"/>
        </w:rPr>
        <w:t xml:space="preserve">In this contribution </w:t>
      </w:r>
      <w:r w:rsidR="007B0BBD">
        <w:rPr>
          <w:lang w:eastAsia="zh-CN"/>
        </w:rPr>
        <w:t xml:space="preserve">the test configurations for IAB RF conformance testing are </w:t>
      </w:r>
      <w:r w:rsidR="003E50DA">
        <w:rPr>
          <w:lang w:eastAsia="zh-CN"/>
        </w:rPr>
        <w:t>analysed</w:t>
      </w:r>
      <w:r w:rsidR="007B0BBD">
        <w:rPr>
          <w:lang w:eastAsia="zh-CN"/>
        </w:rPr>
        <w:t xml:space="preserve"> starting from what is currently specified for base stations.</w:t>
      </w:r>
    </w:p>
    <w:p w14:paraId="27A7A54E" w14:textId="74417229" w:rsidR="007B1131" w:rsidRDefault="00F84D8E" w:rsidP="00F84D8E">
      <w:pPr>
        <w:pStyle w:val="Heading1"/>
        <w:rPr>
          <w:lang w:eastAsia="zh-CN"/>
        </w:rPr>
      </w:pPr>
      <w:proofErr w:type="spellStart"/>
      <w:r>
        <w:rPr>
          <w:lang w:eastAsia="zh-CN"/>
        </w:rPr>
        <w:t>Discussion</w:t>
      </w:r>
      <w:proofErr w:type="spellEnd"/>
    </w:p>
    <w:p w14:paraId="635211BA" w14:textId="73E48290" w:rsidR="00F20FFD" w:rsidRDefault="005B0175" w:rsidP="00C234BC">
      <w:pPr>
        <w:pStyle w:val="BodyText"/>
        <w:rPr>
          <w:lang w:val="en-US" w:eastAsia="zh-CN"/>
        </w:rPr>
      </w:pPr>
      <w:r>
        <w:rPr>
          <w:lang w:val="en-US" w:eastAsia="zh-CN"/>
        </w:rPr>
        <w:t>As well known by now, IAB-Node is a</w:t>
      </w:r>
      <w:r w:rsidR="003E50DA">
        <w:rPr>
          <w:lang w:val="en-US" w:eastAsia="zh-CN"/>
        </w:rPr>
        <w:t>n</w:t>
      </w:r>
      <w:r>
        <w:rPr>
          <w:lang w:val="en-US" w:eastAsia="zh-CN"/>
        </w:rPr>
        <w:t xml:space="preserve"> infrastructure node which consists of two logical entities, IAB-DU and IAB-MT. IAB-DU can both serve access UEs and child-Nodes</w:t>
      </w:r>
      <w:r w:rsidR="00F21B54">
        <w:rPr>
          <w:lang w:val="en-US" w:eastAsia="zh-CN"/>
        </w:rPr>
        <w:t xml:space="preserve"> (nodes further away from donor)</w:t>
      </w:r>
      <w:r>
        <w:rPr>
          <w:lang w:val="en-US" w:eastAsia="zh-CN"/>
        </w:rPr>
        <w:t>, whereas IAB-MT is dedicated to operate in the backhaul link, transmitting to</w:t>
      </w:r>
      <w:r w:rsidR="00F21B54">
        <w:rPr>
          <w:lang w:val="en-US" w:eastAsia="zh-CN"/>
        </w:rPr>
        <w:t xml:space="preserve"> / receiving from</w:t>
      </w:r>
      <w:r>
        <w:rPr>
          <w:lang w:val="en-US" w:eastAsia="zh-CN"/>
        </w:rPr>
        <w:t xml:space="preserve"> parent Node</w:t>
      </w:r>
      <w:r w:rsidR="00F21B54">
        <w:rPr>
          <w:lang w:val="en-US" w:eastAsia="zh-CN"/>
        </w:rPr>
        <w:t xml:space="preserve"> (node closer to donor). </w:t>
      </w:r>
      <w:r w:rsidR="004B3EA8">
        <w:rPr>
          <w:lang w:val="en-US" w:eastAsia="zh-CN"/>
        </w:rPr>
        <w:t xml:space="preserve">As the functions of the MT and DU are different, RAN4 RF core specification was developed so that requirements for IAB-MT and IAB-DU are independent entities. They </w:t>
      </w:r>
      <w:proofErr w:type="gramStart"/>
      <w:r w:rsidR="004B3EA8">
        <w:rPr>
          <w:lang w:val="en-US" w:eastAsia="zh-CN"/>
        </w:rPr>
        <w:t>are allowed to</w:t>
      </w:r>
      <w:proofErr w:type="gramEnd"/>
      <w:r w:rsidR="004B3EA8">
        <w:rPr>
          <w:lang w:val="en-US" w:eastAsia="zh-CN"/>
        </w:rPr>
        <w:t xml:space="preserve"> use different antenna arrays or even be built in separate enclosures. While in </w:t>
      </w:r>
      <w:r w:rsidR="00B93FA3">
        <w:rPr>
          <w:lang w:val="en-US" w:eastAsia="zh-CN"/>
        </w:rPr>
        <w:t>higher layer</w:t>
      </w:r>
      <w:r w:rsidR="00F21B54">
        <w:rPr>
          <w:lang w:val="en-US" w:eastAsia="zh-CN"/>
        </w:rPr>
        <w:t xml:space="preserve"> specifications IAB-MT </w:t>
      </w:r>
      <w:r w:rsidR="00B93FA3">
        <w:rPr>
          <w:lang w:val="en-US" w:eastAsia="zh-CN"/>
        </w:rPr>
        <w:t>often</w:t>
      </w:r>
      <w:r w:rsidR="00F21B54">
        <w:rPr>
          <w:lang w:val="en-US" w:eastAsia="zh-CN"/>
        </w:rPr>
        <w:t xml:space="preserve"> follows the same specification as </w:t>
      </w:r>
      <w:r w:rsidR="00B93FA3">
        <w:rPr>
          <w:lang w:val="en-US" w:eastAsia="zh-CN"/>
        </w:rPr>
        <w:t xml:space="preserve">set for UEs, but in RF specification the requirements are in most cases the same as specified for </w:t>
      </w:r>
      <w:proofErr w:type="spellStart"/>
      <w:r w:rsidR="00B93FA3">
        <w:rPr>
          <w:lang w:val="en-US" w:eastAsia="zh-CN"/>
        </w:rPr>
        <w:t>gNBs</w:t>
      </w:r>
      <w:proofErr w:type="spellEnd"/>
      <w:r w:rsidR="00F21B54">
        <w:rPr>
          <w:lang w:val="en-US" w:eastAsia="zh-CN"/>
        </w:rPr>
        <w:t>.</w:t>
      </w:r>
      <w:r w:rsidR="00B93FA3">
        <w:rPr>
          <w:lang w:val="en-US" w:eastAsia="zh-CN"/>
        </w:rPr>
        <w:t xml:space="preserve"> </w:t>
      </w:r>
    </w:p>
    <w:p w14:paraId="2E63B3B3" w14:textId="6755527C" w:rsidR="00387E66" w:rsidRDefault="00387E66" w:rsidP="00C234BC">
      <w:pPr>
        <w:pStyle w:val="BodyText"/>
        <w:rPr>
          <w:lang w:val="en-US" w:eastAsia="zh-CN"/>
        </w:rPr>
      </w:pPr>
      <w:r>
        <w:rPr>
          <w:lang w:val="en-US" w:eastAsia="zh-CN"/>
        </w:rPr>
        <w:t>Due to the similarity of the requirements</w:t>
      </w:r>
      <w:r w:rsidR="00072E4E">
        <w:rPr>
          <w:lang w:val="en-US" w:eastAsia="zh-CN"/>
        </w:rPr>
        <w:t xml:space="preserve"> it follows that the principles how the requirements are verified should also be similar. One important aspect of the testing is defining test configurations, i.e. how carriers are placed during the test and what is the applicable power level. Test configurations should be specified also for IAB-MT. </w:t>
      </w:r>
    </w:p>
    <w:p w14:paraId="5CADD75C" w14:textId="76357424" w:rsidR="00072E4E" w:rsidRPr="00072E4E" w:rsidRDefault="00072E4E" w:rsidP="00C234BC">
      <w:pPr>
        <w:pStyle w:val="BodyText"/>
        <w:rPr>
          <w:b/>
          <w:bCs/>
          <w:lang w:val="en-US" w:eastAsia="zh-CN"/>
        </w:rPr>
      </w:pPr>
      <w:r w:rsidRPr="00072E4E">
        <w:rPr>
          <w:b/>
          <w:bCs/>
          <w:lang w:val="en-US" w:eastAsia="zh-CN"/>
        </w:rPr>
        <w:t>Proposal 1: Test configurations are specified for both IAB-MT and IAB-DU</w:t>
      </w:r>
    </w:p>
    <w:p w14:paraId="1C26C1D7" w14:textId="1E522711" w:rsidR="0038760F" w:rsidRDefault="000A1699" w:rsidP="0038760F">
      <w:pPr>
        <w:pStyle w:val="BodyText"/>
        <w:rPr>
          <w:lang w:val="en-US" w:eastAsia="zh-CN"/>
        </w:rPr>
      </w:pPr>
      <w:r>
        <w:rPr>
          <w:lang w:val="en-US" w:eastAsia="zh-CN"/>
        </w:rPr>
        <w:t>Currently TS 38.141-1 and TS 38.141-2 specify the test configurations for base stations. Th</w:t>
      </w:r>
      <w:bookmarkStart w:id="0" w:name="_GoBack"/>
      <w:bookmarkEnd w:id="0"/>
      <w:r>
        <w:rPr>
          <w:lang w:val="en-US" w:eastAsia="zh-CN"/>
        </w:rPr>
        <w:t xml:space="preserve">e principles how the carriers are placed are the same for conducted and radiated testing, however there are differences how the Tx power are set </w:t>
      </w:r>
      <w:proofErr w:type="gramStart"/>
      <w:r>
        <w:rPr>
          <w:lang w:val="en-US" w:eastAsia="zh-CN"/>
        </w:rPr>
        <w:t>due to the fact that</w:t>
      </w:r>
      <w:proofErr w:type="gramEnd"/>
      <w:r>
        <w:rPr>
          <w:lang w:val="en-US" w:eastAsia="zh-CN"/>
        </w:rPr>
        <w:t xml:space="preserve"> the power terminology is different for conducted and radiated environments. The general rule for carrier configuration in FR1 is that 5 MHz wide carriers are used with operating bands which are less than 100 MHz wide, whereas 20 MHz carriers are used for wider bands. In case these are not supported the narrowest supported </w:t>
      </w:r>
      <w:proofErr w:type="gramStart"/>
      <w:r>
        <w:rPr>
          <w:lang w:val="en-US" w:eastAsia="zh-CN"/>
        </w:rPr>
        <w:t>carrier</w:t>
      </w:r>
      <w:proofErr w:type="gramEnd"/>
      <w:r>
        <w:rPr>
          <w:lang w:val="en-US" w:eastAsia="zh-CN"/>
        </w:rPr>
        <w:t xml:space="preserve"> bandwidth is used. </w:t>
      </w:r>
    </w:p>
    <w:p w14:paraId="50B1895F" w14:textId="67230321" w:rsidR="000A1699" w:rsidRDefault="000A1699" w:rsidP="0038760F">
      <w:pPr>
        <w:pStyle w:val="BodyText"/>
        <w:rPr>
          <w:lang w:val="en-US" w:eastAsia="zh-CN"/>
        </w:rPr>
      </w:pPr>
      <w:r>
        <w:rPr>
          <w:lang w:val="en-US" w:eastAsia="zh-CN"/>
        </w:rPr>
        <w:t xml:space="preserve">In FR2 100 MHz carrier bandwidth is used, and in case it is not supported, it </w:t>
      </w:r>
      <w:proofErr w:type="gramStart"/>
      <w:r>
        <w:rPr>
          <w:lang w:val="en-US" w:eastAsia="zh-CN"/>
        </w:rPr>
        <w:t>is allowed to</w:t>
      </w:r>
      <w:proofErr w:type="gramEnd"/>
      <w:r>
        <w:rPr>
          <w:lang w:val="en-US" w:eastAsia="zh-CN"/>
        </w:rPr>
        <w:t xml:space="preserve"> use the narrowest supported operating band. </w:t>
      </w:r>
      <w:r w:rsidR="004A77F7">
        <w:rPr>
          <w:lang w:val="en-US" w:eastAsia="zh-CN"/>
        </w:rPr>
        <w:t xml:space="preserve">In some regions, where 50 MHz carrier bandwidth is needed, it </w:t>
      </w:r>
      <w:proofErr w:type="gramStart"/>
      <w:r w:rsidR="004A77F7">
        <w:rPr>
          <w:lang w:val="en-US" w:eastAsia="zh-CN"/>
        </w:rPr>
        <w:t>is allowed to</w:t>
      </w:r>
      <w:proofErr w:type="gramEnd"/>
      <w:r w:rsidR="004A77F7">
        <w:rPr>
          <w:lang w:val="en-US" w:eastAsia="zh-CN"/>
        </w:rPr>
        <w:t xml:space="preserve"> test using 50 MHz carrier bandwidth. For both FR1 and FR2 the narrowest supported SCS </w:t>
      </w:r>
      <w:r w:rsidR="003E50DA">
        <w:rPr>
          <w:lang w:val="en-US" w:eastAsia="zh-CN"/>
        </w:rPr>
        <w:t xml:space="preserve">supported by the vendor </w:t>
      </w:r>
      <w:r w:rsidR="004A77F7">
        <w:rPr>
          <w:lang w:val="en-US" w:eastAsia="zh-CN"/>
        </w:rPr>
        <w:t>is used.</w:t>
      </w:r>
    </w:p>
    <w:p w14:paraId="589892F6" w14:textId="3F8DDC64" w:rsidR="00586961" w:rsidRDefault="008D235F" w:rsidP="0038760F">
      <w:pPr>
        <w:pStyle w:val="BodyText"/>
        <w:rPr>
          <w:lang w:val="en-US" w:eastAsia="zh-CN"/>
        </w:rPr>
      </w:pPr>
      <w:r>
        <w:rPr>
          <w:lang w:val="en-US" w:eastAsia="zh-CN"/>
        </w:rPr>
        <w:t>Five test configurations are specified for base stations</w:t>
      </w:r>
      <w:r w:rsidR="00DD49DB">
        <w:rPr>
          <w:lang w:val="en-US" w:eastAsia="zh-CN"/>
        </w:rPr>
        <w:t>, covering scenarios from contiguously and non-contiguously placed carriers up to multi-band operation:</w:t>
      </w:r>
    </w:p>
    <w:p w14:paraId="06CD91E5" w14:textId="77777777" w:rsidR="008D235F" w:rsidRPr="008D235F" w:rsidRDefault="008D235F" w:rsidP="008D235F">
      <w:pPr>
        <w:pStyle w:val="ListParagraph"/>
        <w:numPr>
          <w:ilvl w:val="0"/>
          <w:numId w:val="15"/>
        </w:numPr>
        <w:ind w:firstLineChars="0"/>
        <w:rPr>
          <w:b/>
          <w:bCs/>
        </w:rPr>
      </w:pPr>
      <w:r w:rsidRPr="008D235F">
        <w:rPr>
          <w:b/>
          <w:bCs/>
        </w:rPr>
        <w:t>NRTC1: contiguous spectrum</w:t>
      </w:r>
    </w:p>
    <w:p w14:paraId="43D26E0B" w14:textId="77777777" w:rsidR="008D235F" w:rsidRPr="008D235F" w:rsidRDefault="008D235F" w:rsidP="008D235F">
      <w:pPr>
        <w:pStyle w:val="ListParagraph"/>
        <w:numPr>
          <w:ilvl w:val="0"/>
          <w:numId w:val="15"/>
        </w:numPr>
        <w:ind w:firstLineChars="0"/>
        <w:rPr>
          <w:b/>
          <w:bCs/>
        </w:rPr>
      </w:pPr>
      <w:r w:rsidRPr="008D235F">
        <w:rPr>
          <w:b/>
          <w:bCs/>
        </w:rPr>
        <w:t>NRTC2: Contiguous CA occupied BW</w:t>
      </w:r>
    </w:p>
    <w:p w14:paraId="7AD46DF7" w14:textId="77777777" w:rsidR="008D235F" w:rsidRDefault="008D235F" w:rsidP="008D235F">
      <w:pPr>
        <w:rPr>
          <w:b/>
          <w:bCs/>
        </w:rPr>
      </w:pPr>
    </w:p>
    <w:p w14:paraId="428B91FE" w14:textId="77777777" w:rsidR="008D235F" w:rsidRPr="008D235F" w:rsidRDefault="008D235F" w:rsidP="008D235F">
      <w:pPr>
        <w:pStyle w:val="ListParagraph"/>
        <w:numPr>
          <w:ilvl w:val="0"/>
          <w:numId w:val="15"/>
        </w:numPr>
        <w:ind w:firstLineChars="0"/>
        <w:rPr>
          <w:b/>
          <w:bCs/>
        </w:rPr>
      </w:pPr>
      <w:r w:rsidRPr="008D235F">
        <w:rPr>
          <w:b/>
          <w:bCs/>
        </w:rPr>
        <w:t>NRTC3: Non-contiguo</w:t>
      </w:r>
      <w:r w:rsidRPr="008D235F">
        <w:rPr>
          <w:b/>
          <w:bCs/>
          <w:lang w:eastAsia="zh-CN"/>
        </w:rPr>
        <w:t>u</w:t>
      </w:r>
      <w:r w:rsidRPr="008D235F">
        <w:rPr>
          <w:b/>
          <w:bCs/>
        </w:rPr>
        <w:t>s spectrum operation</w:t>
      </w:r>
    </w:p>
    <w:p w14:paraId="159C714C" w14:textId="0597562D" w:rsidR="008D235F" w:rsidRPr="008D235F" w:rsidRDefault="008D235F" w:rsidP="008D235F">
      <w:pPr>
        <w:pStyle w:val="ListParagraph"/>
        <w:numPr>
          <w:ilvl w:val="0"/>
          <w:numId w:val="15"/>
        </w:numPr>
        <w:ind w:firstLineChars="0"/>
        <w:rPr>
          <w:b/>
          <w:bCs/>
        </w:rPr>
      </w:pPr>
      <w:r w:rsidRPr="008D235F">
        <w:rPr>
          <w:b/>
          <w:bCs/>
        </w:rPr>
        <w:t xml:space="preserve">NRTC4: Multi-band </w:t>
      </w:r>
      <w:r w:rsidRPr="008D235F">
        <w:rPr>
          <w:b/>
          <w:bCs/>
          <w:lang w:eastAsia="zh-CN"/>
        </w:rPr>
        <w:t xml:space="preserve">test </w:t>
      </w:r>
      <w:r w:rsidRPr="008D235F">
        <w:rPr>
          <w:b/>
          <w:bCs/>
        </w:rPr>
        <w:t>configuration for full carrier allocation</w:t>
      </w:r>
    </w:p>
    <w:p w14:paraId="2DB337F1" w14:textId="77777777" w:rsidR="008D235F" w:rsidRPr="008D235F" w:rsidRDefault="008D235F" w:rsidP="008D235F">
      <w:pPr>
        <w:pStyle w:val="ListParagraph"/>
        <w:numPr>
          <w:ilvl w:val="0"/>
          <w:numId w:val="15"/>
        </w:numPr>
        <w:ind w:firstLineChars="0"/>
        <w:rPr>
          <w:b/>
          <w:bCs/>
        </w:rPr>
      </w:pPr>
      <w:bookmarkStart w:id="1" w:name="_Toc21099848"/>
      <w:bookmarkStart w:id="2" w:name="_Toc29809646"/>
      <w:bookmarkStart w:id="3" w:name="_Toc36645021"/>
      <w:bookmarkStart w:id="4" w:name="_Toc37272075"/>
      <w:bookmarkStart w:id="5" w:name="_Toc45884321"/>
      <w:bookmarkStart w:id="6" w:name="_Toc53182344"/>
      <w:r w:rsidRPr="008D235F">
        <w:rPr>
          <w:b/>
          <w:bCs/>
        </w:rPr>
        <w:t>NRTC5: Multi-band test configuration with high PSD per carrier</w:t>
      </w:r>
      <w:bookmarkEnd w:id="1"/>
      <w:bookmarkEnd w:id="2"/>
      <w:bookmarkEnd w:id="3"/>
      <w:bookmarkEnd w:id="4"/>
      <w:bookmarkEnd w:id="5"/>
      <w:bookmarkEnd w:id="6"/>
    </w:p>
    <w:p w14:paraId="513EF48F" w14:textId="77777777" w:rsidR="00DD49DB" w:rsidRDefault="008D235F" w:rsidP="0038760F">
      <w:pPr>
        <w:pStyle w:val="BodyText"/>
        <w:rPr>
          <w:lang w:eastAsia="zh-CN"/>
        </w:rPr>
      </w:pPr>
      <w:proofErr w:type="gramStart"/>
      <w:r>
        <w:rPr>
          <w:lang w:eastAsia="zh-CN"/>
        </w:rPr>
        <w:t>All of</w:t>
      </w:r>
      <w:proofErr w:type="gramEnd"/>
      <w:r>
        <w:rPr>
          <w:lang w:eastAsia="zh-CN"/>
        </w:rPr>
        <w:t xml:space="preserve"> the scenarios covered by these test configurations are relevant also for IAB-MT: IAB core specification allows operation both in contiguous and non-contiguous spectrum as well as in multi-band mode.</w:t>
      </w:r>
      <w:r w:rsidR="00DD49DB">
        <w:rPr>
          <w:lang w:eastAsia="zh-CN"/>
        </w:rPr>
        <w:t xml:space="preserve"> </w:t>
      </w:r>
      <w:r>
        <w:rPr>
          <w:lang w:eastAsia="zh-CN"/>
        </w:rPr>
        <w:t xml:space="preserve">As IAB-MT transmits the backhaul </w:t>
      </w:r>
      <w:proofErr w:type="gramStart"/>
      <w:r>
        <w:rPr>
          <w:lang w:eastAsia="zh-CN"/>
        </w:rPr>
        <w:t>link</w:t>
      </w:r>
      <w:proofErr w:type="gramEnd"/>
      <w:r>
        <w:rPr>
          <w:lang w:eastAsia="zh-CN"/>
        </w:rPr>
        <w:t xml:space="preserve"> which is likely to carry a lot of data, aggregated possibly from a large number of child nodes or UEs, </w:t>
      </w:r>
      <w:r w:rsidR="00A05399">
        <w:rPr>
          <w:lang w:eastAsia="zh-CN"/>
        </w:rPr>
        <w:t xml:space="preserve">configurations enabling multiple carriers at the same time are reasonable. </w:t>
      </w:r>
    </w:p>
    <w:p w14:paraId="513F5C87" w14:textId="6C968CAD" w:rsidR="008D235F" w:rsidRPr="008D235F" w:rsidRDefault="00DD49DB" w:rsidP="0038760F">
      <w:pPr>
        <w:pStyle w:val="BodyText"/>
        <w:rPr>
          <w:lang w:eastAsia="zh-CN"/>
        </w:rPr>
      </w:pPr>
      <w:r>
        <w:rPr>
          <w:lang w:eastAsia="zh-CN"/>
        </w:rPr>
        <w:t xml:space="preserve">It should be noted that having the test configurations in place does not mandate IAB-MT implementation to support e.g. multi-band operation. Rather, support for different configurations is something that should be covered by manufacturer declarations. Only if support is declared, then the relevant test configuration will be </w:t>
      </w:r>
      <w:proofErr w:type="gramStart"/>
      <w:r>
        <w:rPr>
          <w:lang w:eastAsia="zh-CN"/>
        </w:rPr>
        <w:t>actually used</w:t>
      </w:r>
      <w:proofErr w:type="gramEnd"/>
      <w:r>
        <w:rPr>
          <w:lang w:eastAsia="zh-CN"/>
        </w:rPr>
        <w:t xml:space="preserve"> in the conformance testing. </w:t>
      </w:r>
      <w:r w:rsidR="00A05399">
        <w:rPr>
          <w:lang w:eastAsia="zh-CN"/>
        </w:rPr>
        <w:t>Therefore</w:t>
      </w:r>
      <w:r>
        <w:rPr>
          <w:lang w:eastAsia="zh-CN"/>
        </w:rPr>
        <w:t>,</w:t>
      </w:r>
      <w:r w:rsidR="00A05399">
        <w:rPr>
          <w:lang w:eastAsia="zh-CN"/>
        </w:rPr>
        <w:t xml:space="preserve"> it is proposed to adopt the same test configurations from 38.141-1/2 for both IAB-MT and IAB-DU.</w:t>
      </w:r>
    </w:p>
    <w:p w14:paraId="612FCE38" w14:textId="77777777" w:rsidR="00DD49DB" w:rsidRDefault="007356BD" w:rsidP="0038760F">
      <w:pPr>
        <w:pStyle w:val="BodyText"/>
        <w:rPr>
          <w:b/>
          <w:bCs/>
          <w:lang w:val="en-US" w:eastAsia="zh-CN"/>
        </w:rPr>
      </w:pPr>
      <w:r>
        <w:rPr>
          <w:b/>
          <w:bCs/>
          <w:lang w:val="en-US" w:eastAsia="zh-CN"/>
        </w:rPr>
        <w:t xml:space="preserve">Observation 1: The test configurations defined for </w:t>
      </w:r>
      <w:proofErr w:type="spellStart"/>
      <w:r>
        <w:rPr>
          <w:b/>
          <w:bCs/>
          <w:lang w:val="en-US" w:eastAsia="zh-CN"/>
        </w:rPr>
        <w:t>gNB</w:t>
      </w:r>
      <w:proofErr w:type="spellEnd"/>
      <w:r>
        <w:rPr>
          <w:b/>
          <w:bCs/>
          <w:lang w:val="en-US" w:eastAsia="zh-CN"/>
        </w:rPr>
        <w:t xml:space="preserve"> are relevant also for IAB-MT.</w:t>
      </w:r>
      <w:r w:rsidR="00DD49DB">
        <w:rPr>
          <w:b/>
          <w:bCs/>
          <w:lang w:val="en-US" w:eastAsia="zh-CN"/>
        </w:rPr>
        <w:t xml:space="preserve"> </w:t>
      </w:r>
    </w:p>
    <w:p w14:paraId="5338C546" w14:textId="77777777" w:rsidR="00DD49DB" w:rsidRDefault="00DD49DB" w:rsidP="0038760F">
      <w:pPr>
        <w:pStyle w:val="BodyText"/>
        <w:rPr>
          <w:b/>
          <w:bCs/>
          <w:lang w:val="en-US" w:eastAsia="zh-CN"/>
        </w:rPr>
      </w:pPr>
      <w:r>
        <w:rPr>
          <w:b/>
          <w:bCs/>
          <w:lang w:val="en-US" w:eastAsia="zh-CN"/>
        </w:rPr>
        <w:t xml:space="preserve">Observation 2: Having all the test configurations in place does not mandate supporting all these configurations in the IAB-MT implementation. </w:t>
      </w:r>
    </w:p>
    <w:p w14:paraId="425414DD" w14:textId="7B10A22D" w:rsidR="007356BD" w:rsidRDefault="00DD49DB" w:rsidP="0038760F">
      <w:pPr>
        <w:pStyle w:val="BodyText"/>
        <w:rPr>
          <w:b/>
          <w:bCs/>
          <w:lang w:val="en-US" w:eastAsia="zh-CN"/>
        </w:rPr>
      </w:pPr>
      <w:r>
        <w:rPr>
          <w:b/>
          <w:bCs/>
          <w:lang w:val="en-US" w:eastAsia="zh-CN"/>
        </w:rPr>
        <w:t>Proposal 2: Support for various configurations shall be covered by manufacturer declarations.</w:t>
      </w:r>
    </w:p>
    <w:p w14:paraId="4A9B5FD3" w14:textId="1E3D1BA3" w:rsidR="004A77F7" w:rsidRPr="007356BD" w:rsidRDefault="007356BD" w:rsidP="0038760F">
      <w:pPr>
        <w:pStyle w:val="BodyText"/>
        <w:rPr>
          <w:b/>
          <w:bCs/>
          <w:lang w:val="en-US" w:eastAsia="zh-CN"/>
        </w:rPr>
      </w:pPr>
      <w:r w:rsidRPr="007356BD">
        <w:rPr>
          <w:b/>
          <w:bCs/>
          <w:lang w:val="en-US" w:eastAsia="zh-CN"/>
        </w:rPr>
        <w:t xml:space="preserve">Proposal </w:t>
      </w:r>
      <w:r w:rsidR="00DD49DB">
        <w:rPr>
          <w:b/>
          <w:bCs/>
          <w:lang w:val="en-US" w:eastAsia="zh-CN"/>
        </w:rPr>
        <w:t>3</w:t>
      </w:r>
      <w:r w:rsidRPr="007356BD">
        <w:rPr>
          <w:b/>
          <w:bCs/>
          <w:lang w:val="en-US" w:eastAsia="zh-CN"/>
        </w:rPr>
        <w:t>:</w:t>
      </w:r>
      <w:r>
        <w:rPr>
          <w:b/>
          <w:bCs/>
          <w:lang w:val="en-US" w:eastAsia="zh-CN"/>
        </w:rPr>
        <w:t xml:space="preserve"> Adopt the test configuration from TS 38.141-1/2 for both IAB-DU and IAB-MT</w:t>
      </w:r>
    </w:p>
    <w:p w14:paraId="3A7886CD" w14:textId="573F4241" w:rsidR="0012171E" w:rsidRDefault="00065A7B" w:rsidP="009E2215">
      <w:pPr>
        <w:pStyle w:val="Heading1"/>
        <w:rPr>
          <w:lang w:eastAsia="zh-CN"/>
        </w:rPr>
      </w:pPr>
      <w:proofErr w:type="spellStart"/>
      <w:r>
        <w:rPr>
          <w:lang w:eastAsia="zh-CN"/>
        </w:rPr>
        <w:t>Conclusion</w:t>
      </w:r>
      <w:proofErr w:type="spellEnd"/>
      <w:r w:rsidR="009E2215">
        <w:rPr>
          <w:lang w:eastAsia="zh-CN"/>
        </w:rPr>
        <w:t xml:space="preserve"> </w:t>
      </w:r>
    </w:p>
    <w:p w14:paraId="39231841" w14:textId="4C295364" w:rsidR="00BA1B29" w:rsidRDefault="00BA1B29" w:rsidP="00072E4E">
      <w:pPr>
        <w:rPr>
          <w:lang w:val="sv-SE" w:eastAsia="zh-CN"/>
        </w:rPr>
      </w:pPr>
      <w:r>
        <w:rPr>
          <w:lang w:val="sv-SE" w:eastAsia="zh-CN"/>
        </w:rPr>
        <w:t xml:space="preserve">In </w:t>
      </w:r>
      <w:proofErr w:type="spellStart"/>
      <w:r>
        <w:rPr>
          <w:lang w:val="sv-SE" w:eastAsia="zh-CN"/>
        </w:rPr>
        <w:t>this</w:t>
      </w:r>
      <w:proofErr w:type="spellEnd"/>
      <w:r>
        <w:rPr>
          <w:lang w:val="sv-SE" w:eastAsia="zh-CN"/>
        </w:rPr>
        <w:t xml:space="preserve"> </w:t>
      </w:r>
      <w:proofErr w:type="spellStart"/>
      <w:r>
        <w:rPr>
          <w:lang w:val="sv-SE" w:eastAsia="zh-CN"/>
        </w:rPr>
        <w:t>contribution</w:t>
      </w:r>
      <w:proofErr w:type="spellEnd"/>
      <w:r>
        <w:rPr>
          <w:lang w:val="sv-SE" w:eastAsia="zh-CN"/>
        </w:rPr>
        <w:t xml:space="preserve"> the </w:t>
      </w:r>
      <w:r w:rsidR="007356BD">
        <w:rPr>
          <w:lang w:val="sv-SE" w:eastAsia="zh-CN"/>
        </w:rPr>
        <w:t xml:space="preserve">test </w:t>
      </w:r>
      <w:proofErr w:type="spellStart"/>
      <w:r w:rsidR="007356BD">
        <w:rPr>
          <w:lang w:val="sv-SE" w:eastAsia="zh-CN"/>
        </w:rPr>
        <w:t>configurations</w:t>
      </w:r>
      <w:proofErr w:type="spellEnd"/>
      <w:r w:rsidR="007356BD">
        <w:rPr>
          <w:lang w:val="sv-SE" w:eastAsia="zh-CN"/>
        </w:rPr>
        <w:t xml:space="preserve"> for IAB-</w:t>
      </w:r>
      <w:proofErr w:type="spellStart"/>
      <w:r w:rsidR="007356BD">
        <w:rPr>
          <w:lang w:val="sv-SE" w:eastAsia="zh-CN"/>
        </w:rPr>
        <w:t>Node</w:t>
      </w:r>
      <w:proofErr w:type="spellEnd"/>
      <w:r w:rsidR="007356BD">
        <w:rPr>
          <w:lang w:val="sv-SE" w:eastAsia="zh-CN"/>
        </w:rPr>
        <w:t xml:space="preserve"> </w:t>
      </w:r>
      <w:proofErr w:type="spellStart"/>
      <w:r w:rsidR="007356BD">
        <w:rPr>
          <w:lang w:val="sv-SE" w:eastAsia="zh-CN"/>
        </w:rPr>
        <w:t>conformance</w:t>
      </w:r>
      <w:proofErr w:type="spellEnd"/>
      <w:r w:rsidR="007356BD">
        <w:rPr>
          <w:lang w:val="sv-SE" w:eastAsia="zh-CN"/>
        </w:rPr>
        <w:t xml:space="preserve"> </w:t>
      </w:r>
      <w:proofErr w:type="spellStart"/>
      <w:r w:rsidR="007356BD">
        <w:rPr>
          <w:lang w:val="sv-SE" w:eastAsia="zh-CN"/>
        </w:rPr>
        <w:t>testing</w:t>
      </w:r>
      <w:proofErr w:type="spellEnd"/>
      <w:r w:rsidR="007356BD">
        <w:rPr>
          <w:lang w:val="sv-SE" w:eastAsia="zh-CN"/>
        </w:rPr>
        <w:t xml:space="preserve"> </w:t>
      </w:r>
      <w:proofErr w:type="spellStart"/>
      <w:r w:rsidR="007356BD">
        <w:rPr>
          <w:lang w:val="sv-SE" w:eastAsia="zh-CN"/>
        </w:rPr>
        <w:t>were</w:t>
      </w:r>
      <w:proofErr w:type="spellEnd"/>
      <w:r w:rsidR="007356BD">
        <w:rPr>
          <w:lang w:val="sv-SE" w:eastAsia="zh-CN"/>
        </w:rPr>
        <w:t xml:space="preserve"> </w:t>
      </w:r>
      <w:proofErr w:type="spellStart"/>
      <w:r w:rsidR="007356BD">
        <w:rPr>
          <w:lang w:val="sv-SE" w:eastAsia="zh-CN"/>
        </w:rPr>
        <w:t>discussed</w:t>
      </w:r>
      <w:proofErr w:type="spellEnd"/>
      <w:r w:rsidR="007356BD">
        <w:rPr>
          <w:lang w:val="sv-SE" w:eastAsia="zh-CN"/>
        </w:rPr>
        <w:t xml:space="preserve">. The </w:t>
      </w:r>
      <w:proofErr w:type="spellStart"/>
      <w:r w:rsidR="007356BD">
        <w:rPr>
          <w:lang w:val="sv-SE" w:eastAsia="zh-CN"/>
        </w:rPr>
        <w:t>following</w:t>
      </w:r>
      <w:proofErr w:type="spellEnd"/>
      <w:r w:rsidR="007356BD">
        <w:rPr>
          <w:lang w:val="sv-SE" w:eastAsia="zh-CN"/>
        </w:rPr>
        <w:t xml:space="preserve"> observations and </w:t>
      </w:r>
      <w:proofErr w:type="spellStart"/>
      <w:r w:rsidR="007356BD">
        <w:rPr>
          <w:lang w:val="sv-SE" w:eastAsia="zh-CN"/>
        </w:rPr>
        <w:t>proposals</w:t>
      </w:r>
      <w:proofErr w:type="spellEnd"/>
      <w:r w:rsidR="007356BD">
        <w:rPr>
          <w:lang w:val="sv-SE" w:eastAsia="zh-CN"/>
        </w:rPr>
        <w:t xml:space="preserve"> </w:t>
      </w:r>
      <w:proofErr w:type="spellStart"/>
      <w:r w:rsidR="007356BD">
        <w:rPr>
          <w:lang w:val="sv-SE" w:eastAsia="zh-CN"/>
        </w:rPr>
        <w:t>were</w:t>
      </w:r>
      <w:proofErr w:type="spellEnd"/>
      <w:r w:rsidR="007356BD">
        <w:rPr>
          <w:lang w:val="sv-SE" w:eastAsia="zh-CN"/>
        </w:rPr>
        <w:t xml:space="preserve"> </w:t>
      </w:r>
      <w:proofErr w:type="spellStart"/>
      <w:r w:rsidR="007356BD">
        <w:rPr>
          <w:lang w:val="sv-SE" w:eastAsia="zh-CN"/>
        </w:rPr>
        <w:t>made</w:t>
      </w:r>
      <w:proofErr w:type="spellEnd"/>
      <w:r w:rsidR="007356BD">
        <w:rPr>
          <w:lang w:val="sv-SE" w:eastAsia="zh-CN"/>
        </w:rPr>
        <w:t>.</w:t>
      </w:r>
    </w:p>
    <w:p w14:paraId="48DF7BA3" w14:textId="2C5AC31B" w:rsidR="007356BD" w:rsidRDefault="007356BD" w:rsidP="007356BD">
      <w:pPr>
        <w:pStyle w:val="BodyText"/>
        <w:rPr>
          <w:b/>
          <w:bCs/>
          <w:lang w:val="en-US" w:eastAsia="zh-CN"/>
        </w:rPr>
      </w:pPr>
      <w:r>
        <w:rPr>
          <w:b/>
          <w:bCs/>
          <w:lang w:val="en-US" w:eastAsia="zh-CN"/>
        </w:rPr>
        <w:t xml:space="preserve">Observation 1: The test configurations defined for </w:t>
      </w:r>
      <w:proofErr w:type="spellStart"/>
      <w:r>
        <w:rPr>
          <w:b/>
          <w:bCs/>
          <w:lang w:val="en-US" w:eastAsia="zh-CN"/>
        </w:rPr>
        <w:t>gNB</w:t>
      </w:r>
      <w:proofErr w:type="spellEnd"/>
      <w:r>
        <w:rPr>
          <w:b/>
          <w:bCs/>
          <w:lang w:val="en-US" w:eastAsia="zh-CN"/>
        </w:rPr>
        <w:t xml:space="preserve"> define scenarios which are relevant also for IAB-MT.</w:t>
      </w:r>
    </w:p>
    <w:p w14:paraId="450AF7C5" w14:textId="77777777" w:rsidR="007B555C" w:rsidRDefault="007B555C" w:rsidP="007B555C">
      <w:pPr>
        <w:pStyle w:val="BodyText"/>
        <w:rPr>
          <w:b/>
          <w:bCs/>
          <w:lang w:val="en-US" w:eastAsia="zh-CN"/>
        </w:rPr>
      </w:pPr>
      <w:r>
        <w:rPr>
          <w:b/>
          <w:bCs/>
          <w:lang w:val="en-US" w:eastAsia="zh-CN"/>
        </w:rPr>
        <w:t xml:space="preserve">Observation 2: Having all the test configurations in place does not mandate supporting all these configurations in the IAB-MT implementation. </w:t>
      </w:r>
    </w:p>
    <w:p w14:paraId="79D10786" w14:textId="77777777" w:rsidR="007356BD" w:rsidRPr="00072E4E" w:rsidRDefault="007356BD" w:rsidP="007356BD">
      <w:pPr>
        <w:pStyle w:val="BodyText"/>
        <w:rPr>
          <w:b/>
          <w:bCs/>
          <w:lang w:val="en-US" w:eastAsia="zh-CN"/>
        </w:rPr>
      </w:pPr>
      <w:r w:rsidRPr="00072E4E">
        <w:rPr>
          <w:b/>
          <w:bCs/>
          <w:lang w:val="en-US" w:eastAsia="zh-CN"/>
        </w:rPr>
        <w:t>Proposal 1: Test configurations are specified for both IAB-MT and IAB-DU</w:t>
      </w:r>
    </w:p>
    <w:p w14:paraId="3B8D4A2A" w14:textId="77777777" w:rsidR="00DD49DB" w:rsidRDefault="00DD49DB" w:rsidP="00DD49DB">
      <w:pPr>
        <w:pStyle w:val="BodyText"/>
        <w:rPr>
          <w:b/>
          <w:bCs/>
          <w:lang w:val="en-US" w:eastAsia="zh-CN"/>
        </w:rPr>
      </w:pPr>
      <w:r>
        <w:rPr>
          <w:b/>
          <w:bCs/>
          <w:lang w:val="en-US" w:eastAsia="zh-CN"/>
        </w:rPr>
        <w:t>Proposal 2: Support for various configurations shall be covered by manufacturer declarations.</w:t>
      </w:r>
    </w:p>
    <w:p w14:paraId="36630766" w14:textId="77777777" w:rsidR="00DD49DB" w:rsidRPr="007356BD" w:rsidRDefault="00DD49DB" w:rsidP="00DD49DB">
      <w:pPr>
        <w:pStyle w:val="BodyText"/>
        <w:rPr>
          <w:b/>
          <w:bCs/>
          <w:lang w:val="en-US" w:eastAsia="zh-CN"/>
        </w:rPr>
      </w:pPr>
      <w:r w:rsidRPr="007356BD">
        <w:rPr>
          <w:b/>
          <w:bCs/>
          <w:lang w:val="en-US" w:eastAsia="zh-CN"/>
        </w:rPr>
        <w:t xml:space="preserve">Proposal </w:t>
      </w:r>
      <w:r>
        <w:rPr>
          <w:b/>
          <w:bCs/>
          <w:lang w:val="en-US" w:eastAsia="zh-CN"/>
        </w:rPr>
        <w:t>3</w:t>
      </w:r>
      <w:r w:rsidRPr="007356BD">
        <w:rPr>
          <w:b/>
          <w:bCs/>
          <w:lang w:val="en-US" w:eastAsia="zh-CN"/>
        </w:rPr>
        <w:t>:</w:t>
      </w:r>
      <w:r>
        <w:rPr>
          <w:b/>
          <w:bCs/>
          <w:lang w:val="en-US" w:eastAsia="zh-CN"/>
        </w:rPr>
        <w:t xml:space="preserve"> Adopt the test configuration from TS 38.141-1/2 for both IAB-DU and IAB-MT</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2308FF8E" w:rsidR="00065A7B" w:rsidRPr="00065A7B" w:rsidRDefault="00065A7B" w:rsidP="00065A7B">
      <w:pPr>
        <w:rPr>
          <w:lang w:val="en-US" w:eastAsia="ja-JP"/>
        </w:rPr>
      </w:pPr>
      <w:r>
        <w:rPr>
          <w:lang w:val="en-US" w:eastAsia="ja-JP"/>
        </w:rPr>
        <w:t xml:space="preserve">[1] </w:t>
      </w:r>
    </w:p>
    <w:sectPr w:rsidR="00065A7B" w:rsidRPr="00065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F5D23" w14:textId="77777777" w:rsidR="00BA63F7" w:rsidRDefault="00BA63F7" w:rsidP="001E365C">
      <w:pPr>
        <w:spacing w:after="0"/>
      </w:pPr>
      <w:r>
        <w:separator/>
      </w:r>
    </w:p>
  </w:endnote>
  <w:endnote w:type="continuationSeparator" w:id="0">
    <w:p w14:paraId="6C64D539" w14:textId="77777777" w:rsidR="00BA63F7" w:rsidRDefault="00BA63F7" w:rsidP="001E365C">
      <w:pPr>
        <w:spacing w:after="0"/>
      </w:pPr>
      <w:r>
        <w:continuationSeparator/>
      </w:r>
    </w:p>
  </w:endnote>
  <w:endnote w:type="continuationNotice" w:id="1">
    <w:p w14:paraId="16E91513" w14:textId="77777777" w:rsidR="00BA63F7" w:rsidRDefault="00BA6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E4C24" w14:textId="77777777" w:rsidR="00BA63F7" w:rsidRDefault="00BA63F7" w:rsidP="001E365C">
      <w:pPr>
        <w:spacing w:after="0"/>
      </w:pPr>
      <w:r>
        <w:separator/>
      </w:r>
    </w:p>
  </w:footnote>
  <w:footnote w:type="continuationSeparator" w:id="0">
    <w:p w14:paraId="0460F38C" w14:textId="77777777" w:rsidR="00BA63F7" w:rsidRDefault="00BA63F7" w:rsidP="001E365C">
      <w:pPr>
        <w:spacing w:after="0"/>
      </w:pPr>
      <w:r>
        <w:continuationSeparator/>
      </w:r>
    </w:p>
  </w:footnote>
  <w:footnote w:type="continuationNotice" w:id="1">
    <w:p w14:paraId="454B45F3" w14:textId="77777777" w:rsidR="00BA63F7" w:rsidRDefault="00BA6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D11D2D"/>
    <w:multiLevelType w:val="hybridMultilevel"/>
    <w:tmpl w:val="E932E4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8334CC1"/>
    <w:multiLevelType w:val="hybridMultilevel"/>
    <w:tmpl w:val="794274C8"/>
    <w:lvl w:ilvl="0" w:tplc="524CB20E">
      <w:start w:val="2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2"/>
  </w:num>
  <w:num w:numId="4">
    <w:abstractNumId w:val="9"/>
  </w:num>
  <w:num w:numId="5">
    <w:abstractNumId w:val="7"/>
  </w:num>
  <w:num w:numId="6">
    <w:abstractNumId w:val="0"/>
  </w:num>
  <w:num w:numId="7">
    <w:abstractNumId w:val="5"/>
  </w:num>
  <w:num w:numId="8">
    <w:abstractNumId w:val="12"/>
  </w:num>
  <w:num w:numId="9">
    <w:abstractNumId w:val="10"/>
  </w:num>
  <w:num w:numId="10">
    <w:abstractNumId w:val="1"/>
  </w:num>
  <w:num w:numId="11">
    <w:abstractNumId w:val="13"/>
  </w:num>
  <w:num w:numId="12">
    <w:abstractNumId w:val="8"/>
  </w:num>
  <w:num w:numId="13">
    <w:abstractNumId w:val="14"/>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2E4E"/>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699"/>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50DA"/>
    <w:rsid w:val="003E7AB0"/>
    <w:rsid w:val="003F1C1B"/>
    <w:rsid w:val="003F4D01"/>
    <w:rsid w:val="003F59D8"/>
    <w:rsid w:val="003F5CE7"/>
    <w:rsid w:val="00400263"/>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A77F7"/>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519C"/>
    <w:rsid w:val="00586242"/>
    <w:rsid w:val="00586961"/>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6BD"/>
    <w:rsid w:val="00735D0D"/>
    <w:rsid w:val="00736B37"/>
    <w:rsid w:val="007406C3"/>
    <w:rsid w:val="0074089F"/>
    <w:rsid w:val="00740A35"/>
    <w:rsid w:val="007520B4"/>
    <w:rsid w:val="0075511D"/>
    <w:rsid w:val="0076121E"/>
    <w:rsid w:val="00761E6F"/>
    <w:rsid w:val="007655D5"/>
    <w:rsid w:val="00771536"/>
    <w:rsid w:val="007763C1"/>
    <w:rsid w:val="00777E82"/>
    <w:rsid w:val="00781359"/>
    <w:rsid w:val="00781A52"/>
    <w:rsid w:val="0078318C"/>
    <w:rsid w:val="007835CE"/>
    <w:rsid w:val="00786921"/>
    <w:rsid w:val="007929B6"/>
    <w:rsid w:val="00797996"/>
    <w:rsid w:val="00797DB9"/>
    <w:rsid w:val="007A1EAA"/>
    <w:rsid w:val="007A79FD"/>
    <w:rsid w:val="007B0B9D"/>
    <w:rsid w:val="007B0BBD"/>
    <w:rsid w:val="007B1131"/>
    <w:rsid w:val="007B555C"/>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88E"/>
    <w:rsid w:val="00897C55"/>
    <w:rsid w:val="008A09A0"/>
    <w:rsid w:val="008A1FBE"/>
    <w:rsid w:val="008B3194"/>
    <w:rsid w:val="008B4F8F"/>
    <w:rsid w:val="008B5AE7"/>
    <w:rsid w:val="008C0AED"/>
    <w:rsid w:val="008C247E"/>
    <w:rsid w:val="008C406A"/>
    <w:rsid w:val="008C44A0"/>
    <w:rsid w:val="008C60E9"/>
    <w:rsid w:val="008D14AD"/>
    <w:rsid w:val="008D1B7C"/>
    <w:rsid w:val="008D235F"/>
    <w:rsid w:val="008D5375"/>
    <w:rsid w:val="008D5738"/>
    <w:rsid w:val="008D6657"/>
    <w:rsid w:val="008E11C2"/>
    <w:rsid w:val="008E1F60"/>
    <w:rsid w:val="008E252E"/>
    <w:rsid w:val="008E307E"/>
    <w:rsid w:val="008E5EA2"/>
    <w:rsid w:val="008F4DD1"/>
    <w:rsid w:val="008F5CAB"/>
    <w:rsid w:val="008F6056"/>
    <w:rsid w:val="00902C07"/>
    <w:rsid w:val="0090354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5399"/>
    <w:rsid w:val="00A0758F"/>
    <w:rsid w:val="00A1570A"/>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A084C"/>
    <w:rsid w:val="00BA1B29"/>
    <w:rsid w:val="00BA259A"/>
    <w:rsid w:val="00BA259C"/>
    <w:rsid w:val="00BA29D3"/>
    <w:rsid w:val="00BA307F"/>
    <w:rsid w:val="00BA5280"/>
    <w:rsid w:val="00BA63F7"/>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9BE"/>
    <w:rsid w:val="00D00F6F"/>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D72"/>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D49DB"/>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20F945A1-5920-4E1A-8C29-102E639F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553</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10</cp:revision>
  <cp:lastPrinted>2019-04-25T01:09:00Z</cp:lastPrinted>
  <dcterms:created xsi:type="dcterms:W3CDTF">2020-10-20T13:04:00Z</dcterms:created>
  <dcterms:modified xsi:type="dcterms:W3CDTF">2020-10-23T13:25:00Z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